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88" w:rsidRPr="00AE1818" w:rsidRDefault="003B0188" w:rsidP="00AE1818">
      <w:pPr>
        <w:pStyle w:val="Default"/>
        <w:jc w:val="center"/>
        <w:rPr>
          <w:b/>
          <w:i/>
          <w:iCs/>
          <w:sz w:val="28"/>
          <w:szCs w:val="28"/>
          <w:highlight w:val="yellow"/>
        </w:rPr>
      </w:pPr>
      <w:r w:rsidRPr="00AE1818">
        <w:rPr>
          <w:b/>
          <w:i/>
          <w:iCs/>
          <w:sz w:val="28"/>
          <w:szCs w:val="28"/>
          <w:highlight w:val="yellow"/>
        </w:rPr>
        <w:t>Informace o obnovení osobní přítomnosti ve škole a jejích podmínkách</w:t>
      </w:r>
      <w:r w:rsidR="009247B8" w:rsidRPr="00AE1818">
        <w:rPr>
          <w:b/>
          <w:i/>
          <w:iCs/>
          <w:sz w:val="28"/>
          <w:szCs w:val="28"/>
          <w:highlight w:val="yellow"/>
        </w:rPr>
        <w:t>. 9.ročník</w:t>
      </w:r>
    </w:p>
    <w:p w:rsidR="003B0188" w:rsidRDefault="003B0188" w:rsidP="00C64DFE">
      <w:pPr>
        <w:pStyle w:val="Default"/>
        <w:rPr>
          <w:sz w:val="23"/>
          <w:szCs w:val="23"/>
        </w:rPr>
      </w:pPr>
    </w:p>
    <w:p w:rsidR="00C64DFE" w:rsidRDefault="00C64DFE" w:rsidP="009247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Vážení rodiče žáků 9.ročník</w:t>
      </w:r>
      <w:r w:rsidR="00A82DA0">
        <w:rPr>
          <w:sz w:val="23"/>
          <w:szCs w:val="23"/>
        </w:rPr>
        <w:t>u</w:t>
      </w:r>
      <w:r>
        <w:rPr>
          <w:sz w:val="23"/>
          <w:szCs w:val="23"/>
        </w:rPr>
        <w:t>, kteří se připravují na přijímací zkoušky</w:t>
      </w:r>
      <w:r w:rsidR="009247B8">
        <w:rPr>
          <w:sz w:val="23"/>
          <w:szCs w:val="23"/>
        </w:rPr>
        <w:t>, prožíváme spolu s </w:t>
      </w:r>
      <w:r w:rsidR="00EF542D">
        <w:rPr>
          <w:sz w:val="23"/>
          <w:szCs w:val="23"/>
        </w:rPr>
        <w:t>v</w:t>
      </w:r>
      <w:r w:rsidR="009247B8">
        <w:rPr>
          <w:sz w:val="23"/>
          <w:szCs w:val="23"/>
        </w:rPr>
        <w:t>ámi nelehké období. Brány škol se uzavřely</w:t>
      </w:r>
      <w:r w:rsidR="00D65C55">
        <w:rPr>
          <w:sz w:val="23"/>
          <w:szCs w:val="23"/>
        </w:rPr>
        <w:t>,</w:t>
      </w:r>
      <w:r w:rsidR="009247B8">
        <w:rPr>
          <w:sz w:val="23"/>
          <w:szCs w:val="23"/>
        </w:rPr>
        <w:t xml:space="preserve"> a právě </w:t>
      </w:r>
      <w:r w:rsidR="00EF542D">
        <w:rPr>
          <w:sz w:val="23"/>
          <w:szCs w:val="23"/>
        </w:rPr>
        <w:t>v</w:t>
      </w:r>
      <w:r w:rsidR="009247B8">
        <w:rPr>
          <w:sz w:val="23"/>
          <w:szCs w:val="23"/>
        </w:rPr>
        <w:t>aše děti patří do skupiny žáků</w:t>
      </w:r>
      <w:r w:rsidR="00EF542D">
        <w:rPr>
          <w:sz w:val="23"/>
          <w:szCs w:val="23"/>
        </w:rPr>
        <w:t>,</w:t>
      </w:r>
      <w:r w:rsidR="009247B8">
        <w:rPr>
          <w:sz w:val="23"/>
          <w:szCs w:val="23"/>
        </w:rPr>
        <w:t xml:space="preserve"> kteří se připravují ke studiu v dalším typu škol. Dle neustále měnících se pravidel ministerstva školství bychom měli pro žáky zajistit osobní přípravu </w:t>
      </w:r>
      <w:r w:rsidR="00EF542D">
        <w:rPr>
          <w:sz w:val="23"/>
          <w:szCs w:val="23"/>
        </w:rPr>
        <w:t>v</w:t>
      </w:r>
      <w:r w:rsidR="009247B8">
        <w:rPr>
          <w:sz w:val="23"/>
          <w:szCs w:val="23"/>
        </w:rPr>
        <w:t>ašich dětí na přijímací zkoušky. My jsme na ně žáky připravovali již po celý školní rok a po uzavření škol také dálko</w:t>
      </w:r>
      <w:bookmarkStart w:id="0" w:name="_GoBack"/>
      <w:bookmarkEnd w:id="0"/>
      <w:r w:rsidR="009247B8">
        <w:rPr>
          <w:sz w:val="23"/>
          <w:szCs w:val="23"/>
        </w:rPr>
        <w:t xml:space="preserve">vě. Nabízíme </w:t>
      </w:r>
      <w:r w:rsidR="00F264EB">
        <w:rPr>
          <w:sz w:val="23"/>
          <w:szCs w:val="23"/>
        </w:rPr>
        <w:t xml:space="preserve">však </w:t>
      </w:r>
      <w:r w:rsidR="009247B8">
        <w:rPr>
          <w:sz w:val="23"/>
          <w:szCs w:val="23"/>
        </w:rPr>
        <w:t>žákům možnost osobní přípravy, ale bude se tak konat za přísných hygienických pravidel. Prosím</w:t>
      </w:r>
      <w:r w:rsidR="00EF542D">
        <w:rPr>
          <w:sz w:val="23"/>
          <w:szCs w:val="23"/>
        </w:rPr>
        <w:t>,</w:t>
      </w:r>
      <w:r w:rsidR="009247B8">
        <w:rPr>
          <w:sz w:val="23"/>
          <w:szCs w:val="23"/>
        </w:rPr>
        <w:t xml:space="preserve"> prostudujte si je a zvažte, jak tuto možnost využijete.</w:t>
      </w:r>
    </w:p>
    <w:p w:rsidR="009247B8" w:rsidRDefault="009247B8" w:rsidP="00C64DFE">
      <w:pPr>
        <w:pStyle w:val="Default"/>
        <w:rPr>
          <w:sz w:val="23"/>
          <w:szCs w:val="23"/>
        </w:rPr>
      </w:pPr>
    </w:p>
    <w:p w:rsidR="00C64DFE" w:rsidRDefault="00C64DFE" w:rsidP="00AE181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Žáci devátého ročníku mají možnost účastnit se vzdělávacích aktivit, vedoucích k přípravě na přijímací zkoušky. </w:t>
      </w:r>
      <w:r w:rsidRPr="009247B8">
        <w:rPr>
          <w:sz w:val="23"/>
          <w:szCs w:val="23"/>
          <w:u w:val="single"/>
        </w:rPr>
        <w:t>Zákonný zástupce je povinen vyjádřit zájem</w:t>
      </w:r>
      <w:r>
        <w:rPr>
          <w:sz w:val="23"/>
          <w:szCs w:val="23"/>
        </w:rPr>
        <w:t xml:space="preserve"> o docházku do školy v případě žáků 9. ročníku do 7. 5. 2020. Prosím tedy o vaše vyjádření na email </w:t>
      </w:r>
      <w:hyperlink r:id="rId5" w:history="1">
        <w:r w:rsidRPr="003E0B16">
          <w:rPr>
            <w:rStyle w:val="Hypertextovodkaz"/>
            <w:sz w:val="23"/>
            <w:szCs w:val="23"/>
          </w:rPr>
          <w:t>machyckova@zskunin.cz</w:t>
        </w:r>
      </w:hyperlink>
      <w:r>
        <w:rPr>
          <w:sz w:val="23"/>
          <w:szCs w:val="23"/>
        </w:rPr>
        <w:t>.</w:t>
      </w:r>
    </w:p>
    <w:p w:rsidR="00C64DFE" w:rsidRDefault="00C64DFE" w:rsidP="00AE18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Jedná se pouze o žáky, kteří budou konat přijímací zkoušky na střední školu. Uveďte jméno </w:t>
      </w:r>
      <w:r w:rsidR="00806A18">
        <w:rPr>
          <w:b/>
          <w:bCs/>
          <w:sz w:val="23"/>
          <w:szCs w:val="23"/>
        </w:rPr>
        <w:t>žáka a po žákovi pošlete první den vyplněné a podepsané čestné prohlášení, které najdete na stránkách naší školy.</w:t>
      </w:r>
    </w:p>
    <w:p w:rsidR="003B0188" w:rsidRDefault="003B0188" w:rsidP="00AE1818">
      <w:pPr>
        <w:pStyle w:val="Default"/>
        <w:jc w:val="both"/>
        <w:rPr>
          <w:b/>
          <w:bCs/>
          <w:sz w:val="23"/>
          <w:szCs w:val="23"/>
        </w:rPr>
      </w:pPr>
    </w:p>
    <w:p w:rsidR="003B0188" w:rsidRDefault="003B0188" w:rsidP="00AE18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 ohledem na průběžnou přípravu žáků 9.ročníku v průběhu celého školního roku 2019/2020 a navazující přípravu na dálku </w:t>
      </w:r>
      <w:r w:rsidR="002D55B6">
        <w:rPr>
          <w:b/>
          <w:bCs/>
          <w:sz w:val="23"/>
          <w:szCs w:val="23"/>
        </w:rPr>
        <w:t>stanovuji přípravu takto:</w:t>
      </w:r>
    </w:p>
    <w:p w:rsidR="002D55B6" w:rsidRDefault="002D55B6" w:rsidP="00AE18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 období od 11.5.2020 do termínu přijímacích zkoušek se budou žáci připravovat:</w:t>
      </w:r>
    </w:p>
    <w:p w:rsidR="002D55B6" w:rsidRPr="00D65C55" w:rsidRDefault="002D55B6" w:rsidP="00AE1818">
      <w:pPr>
        <w:pStyle w:val="Default"/>
        <w:jc w:val="both"/>
        <w:rPr>
          <w:b/>
          <w:bCs/>
          <w:sz w:val="23"/>
          <w:szCs w:val="23"/>
          <w:highlight w:val="lightGray"/>
        </w:rPr>
      </w:pPr>
      <w:r w:rsidRPr="00D65C55">
        <w:rPr>
          <w:b/>
          <w:bCs/>
          <w:sz w:val="23"/>
          <w:szCs w:val="23"/>
          <w:highlight w:val="lightGray"/>
        </w:rPr>
        <w:t>Vždy v pondělí od 8.00 – 10.00 hodin MATEMATIKA</w:t>
      </w:r>
    </w:p>
    <w:p w:rsidR="002D55B6" w:rsidRPr="00C64DFE" w:rsidRDefault="002D55B6" w:rsidP="00AE1818">
      <w:pPr>
        <w:pStyle w:val="Default"/>
        <w:jc w:val="both"/>
        <w:rPr>
          <w:b/>
          <w:bCs/>
          <w:sz w:val="23"/>
          <w:szCs w:val="23"/>
        </w:rPr>
      </w:pPr>
      <w:r w:rsidRPr="00D65C55">
        <w:rPr>
          <w:b/>
          <w:bCs/>
          <w:sz w:val="23"/>
          <w:szCs w:val="23"/>
          <w:highlight w:val="lightGray"/>
        </w:rPr>
        <w:t>Vždy ve středu od 8.00 – 10.00 hodin ČESKÝ JAZYK</w:t>
      </w:r>
    </w:p>
    <w:p w:rsidR="00C64DFE" w:rsidRDefault="00C64DFE" w:rsidP="00AE1818">
      <w:pPr>
        <w:pStyle w:val="Default"/>
        <w:jc w:val="both"/>
        <w:rPr>
          <w:sz w:val="23"/>
          <w:szCs w:val="23"/>
        </w:rPr>
      </w:pPr>
    </w:p>
    <w:p w:rsidR="00C64DFE" w:rsidRPr="00EF542D" w:rsidRDefault="003B0188" w:rsidP="00AE1818">
      <w:pPr>
        <w:pStyle w:val="Default"/>
        <w:jc w:val="both"/>
        <w:rPr>
          <w:b/>
          <w:sz w:val="23"/>
          <w:szCs w:val="23"/>
        </w:rPr>
      </w:pPr>
      <w:r w:rsidRPr="00EF542D">
        <w:rPr>
          <w:b/>
          <w:sz w:val="23"/>
          <w:szCs w:val="23"/>
          <w:highlight w:val="yellow"/>
        </w:rPr>
        <w:t>Cesta do školy:</w:t>
      </w:r>
    </w:p>
    <w:p w:rsidR="004F017E" w:rsidRDefault="004F017E" w:rsidP="00AE18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Při cestě do školy a ze školy se na žáky vztahují obecná pravidla chování stanovená krizovými opatřeními, zejména: </w:t>
      </w:r>
    </w:p>
    <w:p w:rsidR="004F017E" w:rsidRDefault="004F017E" w:rsidP="00AE1818">
      <w:pPr>
        <w:pStyle w:val="Default"/>
        <w:spacing w:after="53"/>
        <w:jc w:val="both"/>
        <w:rPr>
          <w:sz w:val="15"/>
          <w:szCs w:val="15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Zakrytí úst a nosu ochrannými prostředky </w:t>
      </w:r>
      <w:r>
        <w:rPr>
          <w:i/>
          <w:iCs/>
          <w:sz w:val="23"/>
          <w:szCs w:val="23"/>
        </w:rPr>
        <w:t>(dále jen „rouška“, šátek, šál, ústenka)</w:t>
      </w:r>
      <w:r>
        <w:rPr>
          <w:sz w:val="23"/>
          <w:szCs w:val="23"/>
        </w:rPr>
        <w:t>.</w:t>
      </w:r>
    </w:p>
    <w:p w:rsidR="004F017E" w:rsidRDefault="004F017E" w:rsidP="00AE1818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Dodržení odstupů 2 metry v souladu s krizovými nebo mimořádnými opatřeními </w:t>
      </w:r>
      <w:r>
        <w:rPr>
          <w:i/>
          <w:iCs/>
          <w:sz w:val="23"/>
          <w:szCs w:val="23"/>
        </w:rPr>
        <w:t>(není tedy nutné např. u doprovodu žáka/členů společné domácnosti)</w:t>
      </w:r>
      <w:r>
        <w:rPr>
          <w:sz w:val="23"/>
          <w:szCs w:val="23"/>
        </w:rPr>
        <w:t xml:space="preserve">. </w:t>
      </w:r>
    </w:p>
    <w:p w:rsidR="004F017E" w:rsidRDefault="004F017E" w:rsidP="00AE18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Škola při zahájení pobytu ve škole na tuto skutečnost žáky upozorní. </w:t>
      </w:r>
    </w:p>
    <w:p w:rsidR="002C22F2" w:rsidRPr="002C22F2" w:rsidRDefault="002C22F2" w:rsidP="002C2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C22F2" w:rsidRPr="002C22F2" w:rsidRDefault="002C22F2" w:rsidP="002C22F2">
      <w:pPr>
        <w:pStyle w:val="Default"/>
        <w:jc w:val="both"/>
        <w:rPr>
          <w:b/>
          <w:sz w:val="23"/>
          <w:szCs w:val="23"/>
        </w:rPr>
      </w:pPr>
      <w:r w:rsidRPr="002C22F2">
        <w:rPr>
          <w:b/>
          <w:sz w:val="23"/>
          <w:szCs w:val="23"/>
          <w:highlight w:val="yellow"/>
        </w:rPr>
        <w:t>Příchod ke škole a pohyb před školou</w:t>
      </w:r>
      <w:r w:rsidRPr="002C22F2">
        <w:rPr>
          <w:b/>
          <w:sz w:val="23"/>
          <w:szCs w:val="23"/>
        </w:rPr>
        <w:t xml:space="preserve"> </w:t>
      </w:r>
    </w:p>
    <w:p w:rsidR="002C22F2" w:rsidRPr="002C22F2" w:rsidRDefault="002C22F2" w:rsidP="002C22F2">
      <w:pPr>
        <w:pStyle w:val="Default"/>
        <w:jc w:val="both"/>
        <w:rPr>
          <w:sz w:val="23"/>
          <w:szCs w:val="23"/>
        </w:rPr>
      </w:pPr>
      <w:r w:rsidRPr="002C22F2">
        <w:rPr>
          <w:sz w:val="23"/>
          <w:szCs w:val="23"/>
        </w:rPr>
        <w:t xml:space="preserve">Pohyb žáků před vstupem do školy organizuje škola podle těchto principů: </w:t>
      </w:r>
    </w:p>
    <w:p w:rsidR="002C22F2" w:rsidRPr="002C22F2" w:rsidRDefault="002C22F2" w:rsidP="002C22F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2C22F2">
        <w:rPr>
          <w:sz w:val="23"/>
          <w:szCs w:val="23"/>
        </w:rPr>
        <w:t xml:space="preserve">Minimalizovat velké shromažďování osob před školou; </w:t>
      </w:r>
    </w:p>
    <w:p w:rsidR="002C22F2" w:rsidRPr="002C22F2" w:rsidRDefault="002C22F2" w:rsidP="002C22F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2C22F2">
        <w:rPr>
          <w:sz w:val="23"/>
          <w:szCs w:val="23"/>
        </w:rPr>
        <w:t xml:space="preserve">Před školou dodržovat odstupy 2 metry v souladu s krizovými nebo mimořádnými opatřeními </w:t>
      </w:r>
    </w:p>
    <w:p w:rsidR="002C22F2" w:rsidRPr="002C22F2" w:rsidRDefault="002C22F2" w:rsidP="002C22F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2C22F2">
        <w:rPr>
          <w:sz w:val="23"/>
          <w:szCs w:val="23"/>
        </w:rPr>
        <w:t>Pro všechny osoby nacházející se před školou platí povinnost zakrytí úst a nosu.</w:t>
      </w:r>
    </w:p>
    <w:p w:rsidR="002C22F2" w:rsidRDefault="002C22F2" w:rsidP="002C22F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2C22F2">
        <w:rPr>
          <w:sz w:val="23"/>
          <w:szCs w:val="23"/>
        </w:rPr>
        <w:t>Žáky před školou vyzvedává pověřený pedagogický pracovník</w:t>
      </w:r>
      <w:r>
        <w:rPr>
          <w:sz w:val="23"/>
          <w:szCs w:val="23"/>
        </w:rPr>
        <w:t>.</w:t>
      </w:r>
    </w:p>
    <w:p w:rsidR="002C22F2" w:rsidRPr="002C22F2" w:rsidRDefault="002C22F2" w:rsidP="002C22F2">
      <w:pPr>
        <w:pStyle w:val="Default"/>
        <w:ind w:left="720"/>
        <w:jc w:val="both"/>
        <w:rPr>
          <w:sz w:val="23"/>
          <w:szCs w:val="23"/>
        </w:rPr>
      </w:pPr>
    </w:p>
    <w:p w:rsidR="004F017E" w:rsidRDefault="004F017E" w:rsidP="00AE1818">
      <w:pPr>
        <w:pStyle w:val="Default"/>
        <w:jc w:val="both"/>
        <w:rPr>
          <w:sz w:val="23"/>
          <w:szCs w:val="23"/>
        </w:rPr>
      </w:pPr>
      <w:r w:rsidRPr="003B0188">
        <w:rPr>
          <w:b/>
          <w:bCs/>
          <w:sz w:val="23"/>
          <w:szCs w:val="23"/>
          <w:highlight w:val="yellow"/>
        </w:rPr>
        <w:t>Vstup do budovy školy nebo školského zařízení</w:t>
      </w:r>
      <w:r>
        <w:rPr>
          <w:b/>
          <w:bCs/>
          <w:sz w:val="23"/>
          <w:szCs w:val="23"/>
        </w:rPr>
        <w:t xml:space="preserve"> </w:t>
      </w:r>
    </w:p>
    <w:p w:rsidR="004F017E" w:rsidRDefault="004F017E" w:rsidP="00AE1818">
      <w:pPr>
        <w:pStyle w:val="Default"/>
        <w:spacing w:after="53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Vstup do budovy školy je umožněn </w:t>
      </w:r>
      <w:r>
        <w:rPr>
          <w:b/>
          <w:bCs/>
          <w:sz w:val="23"/>
          <w:szCs w:val="23"/>
        </w:rPr>
        <w:t>pouze žákům</w:t>
      </w:r>
      <w:r>
        <w:rPr>
          <w:sz w:val="23"/>
          <w:szCs w:val="23"/>
        </w:rPr>
        <w:t xml:space="preserve">, nikoliv doprovázejícím osobám. </w:t>
      </w:r>
    </w:p>
    <w:p w:rsidR="004F017E" w:rsidRDefault="004F017E" w:rsidP="00AE1818">
      <w:pPr>
        <w:pStyle w:val="Default"/>
        <w:spacing w:after="53"/>
        <w:jc w:val="both"/>
        <w:rPr>
          <w:sz w:val="15"/>
          <w:szCs w:val="15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Všichni žáci i zaměstnanci školy nosí </w:t>
      </w:r>
      <w:r>
        <w:rPr>
          <w:b/>
          <w:bCs/>
          <w:sz w:val="23"/>
          <w:szCs w:val="23"/>
        </w:rPr>
        <w:t>ve společných prostorách roušky.</w:t>
      </w:r>
    </w:p>
    <w:p w:rsidR="004F017E" w:rsidRDefault="004F017E" w:rsidP="00AE1818">
      <w:pPr>
        <w:pStyle w:val="Default"/>
        <w:spacing w:after="53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Každý žák bude mít s sebou </w:t>
      </w:r>
      <w:r>
        <w:rPr>
          <w:b/>
          <w:bCs/>
          <w:sz w:val="23"/>
          <w:szCs w:val="23"/>
        </w:rPr>
        <w:t>na den minimálně 2 roušky a sáček na uložení</w:t>
      </w:r>
      <w:r w:rsidR="002C22F2">
        <w:rPr>
          <w:b/>
          <w:bCs/>
          <w:sz w:val="23"/>
          <w:szCs w:val="23"/>
        </w:rPr>
        <w:t xml:space="preserve"> použité</w:t>
      </w:r>
      <w:r>
        <w:rPr>
          <w:b/>
          <w:bCs/>
          <w:sz w:val="23"/>
          <w:szCs w:val="23"/>
        </w:rPr>
        <w:t xml:space="preserve"> roušky</w:t>
      </w:r>
      <w:r>
        <w:rPr>
          <w:sz w:val="23"/>
          <w:szCs w:val="23"/>
        </w:rPr>
        <w:t xml:space="preserve">. </w:t>
      </w:r>
    </w:p>
    <w:p w:rsidR="004F017E" w:rsidRDefault="004F017E" w:rsidP="00AE1818">
      <w:pPr>
        <w:pStyle w:val="Default"/>
        <w:spacing w:after="53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Žák je povinen dodržovat stanovená hygienická pravidla; jejich opakované nedodržování, po prokazatelném upozornění zákonného zástupce žáka, je důvodem k nevpuštění žáka do školy, resp. k vyřazení žáka ze skupiny či přípravy.</w:t>
      </w:r>
    </w:p>
    <w:p w:rsidR="004F017E" w:rsidRDefault="004F017E" w:rsidP="00AE1818">
      <w:pPr>
        <w:pStyle w:val="Default"/>
        <w:spacing w:after="53"/>
        <w:jc w:val="both"/>
        <w:rPr>
          <w:sz w:val="23"/>
          <w:szCs w:val="23"/>
        </w:rPr>
      </w:pPr>
    </w:p>
    <w:p w:rsidR="004F017E" w:rsidRPr="004F017E" w:rsidRDefault="004F017E" w:rsidP="00AE1818">
      <w:pPr>
        <w:pStyle w:val="Default"/>
        <w:spacing w:after="53"/>
        <w:jc w:val="both"/>
        <w:rPr>
          <w:sz w:val="23"/>
          <w:szCs w:val="23"/>
        </w:rPr>
      </w:pPr>
      <w:r w:rsidRPr="003B0188">
        <w:rPr>
          <w:sz w:val="23"/>
          <w:szCs w:val="23"/>
          <w:highlight w:val="yellow"/>
        </w:rPr>
        <w:lastRenderedPageBreak/>
        <w:t>Ve třídě</w:t>
      </w:r>
    </w:p>
    <w:p w:rsidR="004F017E" w:rsidRPr="004F017E" w:rsidRDefault="004F017E" w:rsidP="00AE1818">
      <w:pPr>
        <w:autoSpaceDE w:val="0"/>
        <w:autoSpaceDN w:val="0"/>
        <w:adjustRightInd w:val="0"/>
        <w:spacing w:after="53" w:line="240" w:lineRule="auto"/>
        <w:jc w:val="both"/>
        <w:rPr>
          <w:rFonts w:ascii="Wingdings 2" w:hAnsi="Wingdings 2" w:cs="Wingdings 2"/>
          <w:color w:val="000000"/>
          <w:sz w:val="23"/>
          <w:szCs w:val="23"/>
        </w:rPr>
      </w:pPr>
      <w:r w:rsidRPr="004F017E">
        <w:rPr>
          <w:rFonts w:ascii="Wingdings 2" w:hAnsi="Wingdings 2" w:cs="Wingdings 2"/>
          <w:color w:val="000000"/>
          <w:sz w:val="23"/>
          <w:szCs w:val="23"/>
        </w:rPr>
        <w:t></w:t>
      </w:r>
      <w:r w:rsidRPr="004F017E">
        <w:rPr>
          <w:rFonts w:ascii="Wingdings 2" w:hAnsi="Wingdings 2" w:cs="Wingdings 2"/>
          <w:color w:val="000000"/>
          <w:sz w:val="23"/>
          <w:szCs w:val="23"/>
        </w:rPr>
        <w:t></w:t>
      </w:r>
      <w:r w:rsidRPr="004F017E">
        <w:rPr>
          <w:rFonts w:ascii="Calibri" w:hAnsi="Calibri" w:cs="Calibri"/>
          <w:b/>
          <w:bCs/>
          <w:color w:val="000000"/>
          <w:sz w:val="23"/>
          <w:szCs w:val="23"/>
        </w:rPr>
        <w:t xml:space="preserve">Neprodleně po přezutí, </w:t>
      </w:r>
      <w:r w:rsidRPr="004F017E">
        <w:rPr>
          <w:rFonts w:ascii="Calibri" w:hAnsi="Calibri" w:cs="Calibri"/>
          <w:color w:val="000000"/>
          <w:sz w:val="23"/>
          <w:szCs w:val="23"/>
        </w:rPr>
        <w:t xml:space="preserve">popřípadě po příchodu do třídy, musí každý použít dezinfekci na ruce. Doporučuje se i předchozí umytí rukou </w:t>
      </w:r>
      <w:r w:rsidRPr="004F017E">
        <w:rPr>
          <w:rFonts w:ascii="Calibri" w:hAnsi="Calibri" w:cs="Calibri"/>
          <w:i/>
          <w:iCs/>
          <w:color w:val="000000"/>
          <w:sz w:val="23"/>
          <w:szCs w:val="23"/>
        </w:rPr>
        <w:t>(důkladně 20 až 30 sekund vodou a tekutým mýdlem)</w:t>
      </w:r>
      <w:r w:rsidRPr="004F017E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4F017E" w:rsidRPr="004F017E" w:rsidRDefault="004F017E" w:rsidP="00AE1818">
      <w:pPr>
        <w:autoSpaceDE w:val="0"/>
        <w:autoSpaceDN w:val="0"/>
        <w:adjustRightInd w:val="0"/>
        <w:spacing w:after="53" w:line="240" w:lineRule="auto"/>
        <w:jc w:val="both"/>
        <w:rPr>
          <w:rFonts w:ascii="Wingdings 2" w:hAnsi="Wingdings 2" w:cs="Wingdings 2"/>
          <w:color w:val="000000"/>
          <w:sz w:val="15"/>
          <w:szCs w:val="15"/>
        </w:rPr>
      </w:pPr>
      <w:r w:rsidRPr="004F017E">
        <w:rPr>
          <w:rFonts w:ascii="Wingdings 2" w:hAnsi="Wingdings 2" w:cs="Wingdings 2"/>
          <w:color w:val="000000"/>
          <w:sz w:val="23"/>
          <w:szCs w:val="23"/>
        </w:rPr>
        <w:t></w:t>
      </w:r>
      <w:r w:rsidRPr="004F017E">
        <w:rPr>
          <w:rFonts w:ascii="Wingdings 2" w:hAnsi="Wingdings 2" w:cs="Wingdings 2"/>
          <w:color w:val="000000"/>
          <w:sz w:val="23"/>
          <w:szCs w:val="23"/>
        </w:rPr>
        <w:t></w:t>
      </w:r>
      <w:r w:rsidRPr="004F017E">
        <w:rPr>
          <w:rFonts w:ascii="Calibri" w:hAnsi="Calibri" w:cs="Calibri"/>
          <w:b/>
          <w:bCs/>
          <w:color w:val="000000"/>
          <w:sz w:val="23"/>
          <w:szCs w:val="23"/>
        </w:rPr>
        <w:t xml:space="preserve">V průběhu pobytu ve třídě nemusí žáci ani pedagogičtí pracovníci nosit roušku, pokud je zachován rozestup 2 metry </w:t>
      </w:r>
      <w:r w:rsidRPr="004F017E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(nejméně 1,5 metru)</w:t>
      </w:r>
      <w:r w:rsidRPr="004F017E">
        <w:rPr>
          <w:rFonts w:ascii="Calibri" w:hAnsi="Calibri" w:cs="Calibri"/>
          <w:b/>
          <w:bCs/>
          <w:color w:val="000000"/>
          <w:sz w:val="23"/>
          <w:szCs w:val="23"/>
        </w:rPr>
        <w:t xml:space="preserve">. Pokud dochází k bližšímu kontaktu </w:t>
      </w:r>
      <w:r w:rsidRPr="004F017E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(např. při skupinové práci)</w:t>
      </w:r>
      <w:r w:rsidRPr="004F017E">
        <w:rPr>
          <w:rFonts w:ascii="Calibri" w:hAnsi="Calibri" w:cs="Calibri"/>
          <w:b/>
          <w:bCs/>
          <w:color w:val="000000"/>
          <w:sz w:val="23"/>
          <w:szCs w:val="23"/>
        </w:rPr>
        <w:t>, musí se roušky nosit i ve třídě.</w:t>
      </w:r>
    </w:p>
    <w:p w:rsidR="004F017E" w:rsidRPr="004F017E" w:rsidRDefault="004F017E" w:rsidP="00AE1818">
      <w:pPr>
        <w:autoSpaceDE w:val="0"/>
        <w:autoSpaceDN w:val="0"/>
        <w:adjustRightInd w:val="0"/>
        <w:spacing w:after="53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F017E">
        <w:rPr>
          <w:rFonts w:ascii="Wingdings 2" w:hAnsi="Wingdings 2" w:cs="Wingdings 2"/>
          <w:color w:val="000000"/>
          <w:sz w:val="23"/>
          <w:szCs w:val="23"/>
        </w:rPr>
        <w:t></w:t>
      </w:r>
      <w:r w:rsidRPr="004F017E">
        <w:rPr>
          <w:rFonts w:ascii="Wingdings 2" w:hAnsi="Wingdings 2" w:cs="Wingdings 2"/>
          <w:color w:val="000000"/>
          <w:sz w:val="23"/>
          <w:szCs w:val="23"/>
        </w:rPr>
        <w:t></w:t>
      </w:r>
      <w:r w:rsidRPr="003B0188">
        <w:rPr>
          <w:rFonts w:ascii="Calibri" w:hAnsi="Calibri" w:cs="Calibri"/>
          <w:b/>
          <w:bCs/>
          <w:color w:val="000000"/>
          <w:sz w:val="23"/>
          <w:szCs w:val="23"/>
        </w:rPr>
        <w:t>Při sejmutí si každý žák ukládá roušku do sáčku</w:t>
      </w:r>
      <w:r w:rsidR="003B0188">
        <w:rPr>
          <w:rFonts w:ascii="Calibri" w:hAnsi="Calibri" w:cs="Calibri"/>
          <w:b/>
          <w:bCs/>
          <w:color w:val="000000"/>
          <w:sz w:val="23"/>
          <w:szCs w:val="23"/>
        </w:rPr>
        <w:t>.</w:t>
      </w:r>
    </w:p>
    <w:p w:rsidR="004F017E" w:rsidRPr="004F017E" w:rsidRDefault="004F017E" w:rsidP="00AE1818">
      <w:pPr>
        <w:autoSpaceDE w:val="0"/>
        <w:autoSpaceDN w:val="0"/>
        <w:adjustRightInd w:val="0"/>
        <w:spacing w:after="53" w:line="240" w:lineRule="auto"/>
        <w:jc w:val="both"/>
        <w:rPr>
          <w:rFonts w:ascii="Wingdings 2" w:hAnsi="Wingdings 2" w:cs="Wingdings 2"/>
          <w:color w:val="000000"/>
          <w:sz w:val="23"/>
          <w:szCs w:val="23"/>
        </w:rPr>
      </w:pPr>
      <w:r w:rsidRPr="004F017E">
        <w:rPr>
          <w:rFonts w:ascii="Wingdings 2" w:hAnsi="Wingdings 2" w:cs="Wingdings 2"/>
          <w:color w:val="000000"/>
          <w:sz w:val="23"/>
          <w:szCs w:val="23"/>
        </w:rPr>
        <w:t></w:t>
      </w:r>
      <w:r w:rsidRPr="004F017E">
        <w:rPr>
          <w:rFonts w:ascii="Wingdings 2" w:hAnsi="Wingdings 2" w:cs="Wingdings 2"/>
          <w:color w:val="000000"/>
          <w:sz w:val="23"/>
          <w:szCs w:val="23"/>
        </w:rPr>
        <w:t></w:t>
      </w:r>
      <w:r w:rsidRPr="004F017E">
        <w:rPr>
          <w:rFonts w:ascii="Calibri" w:hAnsi="Calibri" w:cs="Calibri"/>
          <w:b/>
          <w:bCs/>
          <w:color w:val="000000"/>
          <w:sz w:val="23"/>
          <w:szCs w:val="23"/>
        </w:rPr>
        <w:t xml:space="preserve">Žáci si </w:t>
      </w:r>
      <w:r w:rsidRPr="004F017E">
        <w:rPr>
          <w:rFonts w:ascii="Calibri" w:hAnsi="Calibri" w:cs="Calibri"/>
          <w:color w:val="000000"/>
          <w:sz w:val="23"/>
          <w:szCs w:val="23"/>
        </w:rPr>
        <w:t xml:space="preserve">po každém vzdělávacím bloku vydezinfikují nebo umyjí ruce ve své třídě. </w:t>
      </w:r>
    </w:p>
    <w:p w:rsidR="004F017E" w:rsidRDefault="004F017E" w:rsidP="00AE18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4F017E">
        <w:rPr>
          <w:rFonts w:ascii="Wingdings 2" w:hAnsi="Wingdings 2" w:cs="Wingdings 2"/>
          <w:color w:val="000000"/>
          <w:sz w:val="23"/>
          <w:szCs w:val="23"/>
        </w:rPr>
        <w:t></w:t>
      </w:r>
      <w:r w:rsidRPr="004F017E">
        <w:rPr>
          <w:rFonts w:ascii="Wingdings 2" w:hAnsi="Wingdings 2" w:cs="Wingdings 2"/>
          <w:color w:val="000000"/>
          <w:sz w:val="23"/>
          <w:szCs w:val="23"/>
        </w:rPr>
        <w:t></w:t>
      </w:r>
      <w:r w:rsidRPr="004F017E">
        <w:rPr>
          <w:rFonts w:ascii="Calibri" w:hAnsi="Calibri" w:cs="Calibri"/>
          <w:color w:val="000000"/>
          <w:sz w:val="23"/>
          <w:szCs w:val="23"/>
        </w:rPr>
        <w:t xml:space="preserve">Škola vede </w:t>
      </w:r>
      <w:r w:rsidRPr="004F017E">
        <w:rPr>
          <w:rFonts w:ascii="Calibri" w:hAnsi="Calibri" w:cs="Calibri"/>
          <w:b/>
          <w:bCs/>
          <w:color w:val="000000"/>
          <w:sz w:val="23"/>
          <w:szCs w:val="23"/>
        </w:rPr>
        <w:t xml:space="preserve">evidenci o docházce </w:t>
      </w:r>
      <w:r w:rsidRPr="004F017E">
        <w:rPr>
          <w:rFonts w:ascii="Calibri" w:hAnsi="Calibri" w:cs="Calibri"/>
          <w:color w:val="000000"/>
          <w:sz w:val="23"/>
          <w:szCs w:val="23"/>
        </w:rPr>
        <w:t xml:space="preserve">žáků do školy. </w:t>
      </w:r>
    </w:p>
    <w:p w:rsidR="00F264EB" w:rsidRDefault="00F264EB" w:rsidP="00AE18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F264EB" w:rsidRPr="00F264EB" w:rsidRDefault="00F264EB" w:rsidP="00F2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264EB">
        <w:rPr>
          <w:rFonts w:ascii="Calibri" w:hAnsi="Calibri" w:cs="Calibri"/>
          <w:color w:val="000000"/>
          <w:sz w:val="24"/>
          <w:szCs w:val="24"/>
          <w:highlight w:val="yellow"/>
        </w:rPr>
        <w:t>Osoby s rizikovými faktory</w:t>
      </w:r>
      <w:r w:rsidRPr="00F264E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264EB" w:rsidRPr="00F264EB" w:rsidRDefault="00F264EB" w:rsidP="00F2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264EB">
        <w:rPr>
          <w:rFonts w:ascii="Calibri" w:hAnsi="Calibri" w:cs="Calibri"/>
          <w:b/>
          <w:bCs/>
          <w:color w:val="000000"/>
          <w:sz w:val="23"/>
          <w:szCs w:val="23"/>
        </w:rPr>
        <w:t xml:space="preserve">Ministerstvo zdravotnictví stanovilo následující rizikové faktory: </w:t>
      </w:r>
    </w:p>
    <w:p w:rsidR="00F264EB" w:rsidRPr="00F264EB" w:rsidRDefault="00F264EB" w:rsidP="00F264EB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sz w:val="23"/>
          <w:szCs w:val="23"/>
        </w:rPr>
      </w:pPr>
      <w:r w:rsidRPr="00F264EB">
        <w:rPr>
          <w:rFonts w:ascii="Calibri" w:hAnsi="Calibri" w:cs="Calibri"/>
          <w:color w:val="000000"/>
          <w:sz w:val="23"/>
          <w:szCs w:val="23"/>
        </w:rPr>
        <w:t xml:space="preserve">1. Věk nad 65 let s přidruženými chronickými chorobami. </w:t>
      </w:r>
    </w:p>
    <w:p w:rsidR="00F264EB" w:rsidRPr="00F264EB" w:rsidRDefault="00F264EB" w:rsidP="00F264EB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sz w:val="23"/>
          <w:szCs w:val="23"/>
        </w:rPr>
      </w:pPr>
      <w:r w:rsidRPr="00F264EB">
        <w:rPr>
          <w:rFonts w:ascii="Calibri" w:hAnsi="Calibri" w:cs="Calibri"/>
          <w:color w:val="000000"/>
          <w:sz w:val="23"/>
          <w:szCs w:val="23"/>
        </w:rPr>
        <w:t xml:space="preserve">2. Chronické onemocnění plic </w:t>
      </w:r>
      <w:r w:rsidRPr="00F264EB">
        <w:rPr>
          <w:rFonts w:ascii="Calibri" w:hAnsi="Calibri" w:cs="Calibri"/>
          <w:i/>
          <w:iCs/>
          <w:color w:val="000000"/>
          <w:sz w:val="23"/>
          <w:szCs w:val="23"/>
        </w:rPr>
        <w:t xml:space="preserve">(zahrnuje i středně závažné a závažné astma </w:t>
      </w:r>
      <w:proofErr w:type="spellStart"/>
      <w:r w:rsidRPr="00F264EB">
        <w:rPr>
          <w:rFonts w:ascii="Calibri" w:hAnsi="Calibri" w:cs="Calibri"/>
          <w:i/>
          <w:iCs/>
          <w:color w:val="000000"/>
          <w:sz w:val="23"/>
          <w:szCs w:val="23"/>
        </w:rPr>
        <w:t>bronchiale</w:t>
      </w:r>
      <w:proofErr w:type="spellEnd"/>
      <w:r w:rsidRPr="00F264EB">
        <w:rPr>
          <w:rFonts w:ascii="Calibri" w:hAnsi="Calibri" w:cs="Calibri"/>
          <w:i/>
          <w:iCs/>
          <w:color w:val="000000"/>
          <w:sz w:val="23"/>
          <w:szCs w:val="23"/>
        </w:rPr>
        <w:t xml:space="preserve">) </w:t>
      </w:r>
      <w:r w:rsidRPr="00F264EB">
        <w:rPr>
          <w:rFonts w:ascii="Calibri" w:hAnsi="Calibri" w:cs="Calibri"/>
          <w:color w:val="000000"/>
          <w:sz w:val="23"/>
          <w:szCs w:val="23"/>
        </w:rPr>
        <w:t xml:space="preserve">s dlouhodobou systémovou farmakologickou léčbou. </w:t>
      </w:r>
    </w:p>
    <w:p w:rsidR="00F264EB" w:rsidRPr="00F264EB" w:rsidRDefault="00F264EB" w:rsidP="00F264EB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sz w:val="23"/>
          <w:szCs w:val="23"/>
        </w:rPr>
      </w:pPr>
      <w:r w:rsidRPr="00F264EB">
        <w:rPr>
          <w:rFonts w:ascii="Calibri" w:hAnsi="Calibri" w:cs="Calibri"/>
          <w:color w:val="000000"/>
          <w:sz w:val="23"/>
          <w:szCs w:val="23"/>
        </w:rPr>
        <w:t xml:space="preserve">3. Onemocnění srdce a/nebo velkých cév s dlouhodobou systémovou farmakologickou léčbou např. hypertenze. </w:t>
      </w:r>
    </w:p>
    <w:p w:rsidR="00F264EB" w:rsidRPr="00F264EB" w:rsidRDefault="00F264EB" w:rsidP="00F264EB">
      <w:pPr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3"/>
          <w:szCs w:val="23"/>
        </w:rPr>
      </w:pPr>
      <w:r w:rsidRPr="00F264EB">
        <w:rPr>
          <w:rFonts w:ascii="Calibri" w:hAnsi="Calibri" w:cs="Calibri"/>
          <w:color w:val="000000"/>
          <w:sz w:val="23"/>
          <w:szCs w:val="23"/>
        </w:rPr>
        <w:t xml:space="preserve">4. Porucha imunitního systému, např. a) při imunosupresivní léčbě </w:t>
      </w:r>
      <w:r w:rsidRPr="00F264EB">
        <w:rPr>
          <w:rFonts w:ascii="Calibri" w:hAnsi="Calibri" w:cs="Calibri"/>
          <w:i/>
          <w:iCs/>
          <w:color w:val="000000"/>
          <w:sz w:val="23"/>
          <w:szCs w:val="23"/>
        </w:rPr>
        <w:t>(steroidy, HIV apod.)</w:t>
      </w:r>
      <w:r w:rsidRPr="00F264EB">
        <w:rPr>
          <w:rFonts w:ascii="Calibri" w:hAnsi="Calibri" w:cs="Calibri"/>
          <w:color w:val="000000"/>
          <w:sz w:val="23"/>
          <w:szCs w:val="23"/>
        </w:rPr>
        <w:t xml:space="preserve">, </w:t>
      </w:r>
    </w:p>
    <w:p w:rsidR="00F264EB" w:rsidRPr="00F264EB" w:rsidRDefault="00F264EB" w:rsidP="00F264EB">
      <w:pPr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3"/>
          <w:szCs w:val="23"/>
        </w:rPr>
      </w:pPr>
      <w:r w:rsidRPr="00F264EB">
        <w:rPr>
          <w:rFonts w:ascii="Calibri" w:hAnsi="Calibri" w:cs="Calibri"/>
          <w:color w:val="000000"/>
          <w:sz w:val="23"/>
          <w:szCs w:val="23"/>
        </w:rPr>
        <w:t xml:space="preserve">b) při protinádorové léčbě, </w:t>
      </w:r>
    </w:p>
    <w:p w:rsidR="00F264EB" w:rsidRPr="00F264EB" w:rsidRDefault="00F264EB" w:rsidP="00F264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264EB">
        <w:rPr>
          <w:rFonts w:ascii="Calibri" w:hAnsi="Calibri" w:cs="Calibri"/>
          <w:color w:val="000000"/>
          <w:sz w:val="23"/>
          <w:szCs w:val="23"/>
        </w:rPr>
        <w:t xml:space="preserve">c) po transplantaci solidních orgánů a/nebo kostní dřeně, </w:t>
      </w:r>
    </w:p>
    <w:p w:rsidR="00F264EB" w:rsidRPr="00F264EB" w:rsidRDefault="00F264EB" w:rsidP="00F264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264EB">
        <w:rPr>
          <w:rFonts w:ascii="Calibri" w:hAnsi="Calibri" w:cs="Calibri"/>
          <w:color w:val="000000"/>
          <w:sz w:val="23"/>
          <w:szCs w:val="23"/>
        </w:rPr>
        <w:t xml:space="preserve">5. Těžká obezita </w:t>
      </w:r>
      <w:r w:rsidRPr="00F264EB">
        <w:rPr>
          <w:rFonts w:ascii="Calibri" w:hAnsi="Calibri" w:cs="Calibri"/>
          <w:i/>
          <w:iCs/>
          <w:color w:val="000000"/>
          <w:sz w:val="23"/>
          <w:szCs w:val="23"/>
        </w:rPr>
        <w:t>(BMI nad 40 kg/m</w:t>
      </w:r>
      <w:r w:rsidRPr="00F264EB">
        <w:rPr>
          <w:rFonts w:ascii="Calibri" w:hAnsi="Calibri" w:cs="Calibri"/>
          <w:i/>
          <w:iCs/>
          <w:color w:val="000000"/>
          <w:sz w:val="15"/>
          <w:szCs w:val="15"/>
        </w:rPr>
        <w:t>2</w:t>
      </w:r>
      <w:r w:rsidRPr="00F264EB">
        <w:rPr>
          <w:rFonts w:ascii="Calibri" w:hAnsi="Calibri" w:cs="Calibri"/>
          <w:i/>
          <w:iCs/>
          <w:color w:val="000000"/>
          <w:sz w:val="23"/>
          <w:szCs w:val="23"/>
        </w:rPr>
        <w:t>)</w:t>
      </w:r>
      <w:r w:rsidRPr="00F264EB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F264EB" w:rsidRPr="00F264EB" w:rsidRDefault="00F264EB" w:rsidP="00F264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264EB">
        <w:rPr>
          <w:rFonts w:ascii="Calibri" w:hAnsi="Calibri" w:cs="Calibri"/>
          <w:color w:val="000000"/>
          <w:sz w:val="23"/>
          <w:szCs w:val="23"/>
        </w:rPr>
        <w:t xml:space="preserve">6. Farmakologicky léčený diabetes </w:t>
      </w:r>
      <w:proofErr w:type="spellStart"/>
      <w:r w:rsidRPr="00F264EB">
        <w:rPr>
          <w:rFonts w:ascii="Calibri" w:hAnsi="Calibri" w:cs="Calibri"/>
          <w:color w:val="000000"/>
          <w:sz w:val="23"/>
          <w:szCs w:val="23"/>
        </w:rPr>
        <w:t>mellitus</w:t>
      </w:r>
      <w:proofErr w:type="spellEnd"/>
      <w:r w:rsidRPr="00F264EB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F264EB" w:rsidRPr="00F264EB" w:rsidRDefault="00F264EB" w:rsidP="00F264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264EB">
        <w:rPr>
          <w:rFonts w:ascii="Calibri" w:hAnsi="Calibri" w:cs="Calibri"/>
          <w:color w:val="000000"/>
          <w:sz w:val="23"/>
          <w:szCs w:val="23"/>
        </w:rPr>
        <w:t xml:space="preserve">7. Chronické onemocnění ledvin vyžadující dočasnou nebo trvalou podporu/náhradu funkce ledvin </w:t>
      </w:r>
      <w:r w:rsidRPr="00F264EB">
        <w:rPr>
          <w:rFonts w:ascii="Calibri" w:hAnsi="Calibri" w:cs="Calibri"/>
          <w:i/>
          <w:iCs/>
          <w:color w:val="000000"/>
          <w:sz w:val="23"/>
          <w:szCs w:val="23"/>
        </w:rPr>
        <w:t>(dialýza)</w:t>
      </w:r>
      <w:r w:rsidRPr="00F264EB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F264EB" w:rsidRPr="00F264EB" w:rsidRDefault="00F264EB" w:rsidP="00F264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264EB">
        <w:rPr>
          <w:rFonts w:ascii="Calibri" w:hAnsi="Calibri" w:cs="Calibri"/>
          <w:color w:val="000000"/>
          <w:sz w:val="23"/>
          <w:szCs w:val="23"/>
        </w:rPr>
        <w:t xml:space="preserve">8. Onemocnění jater </w:t>
      </w:r>
      <w:r w:rsidRPr="00F264EB">
        <w:rPr>
          <w:rFonts w:ascii="Calibri" w:hAnsi="Calibri" w:cs="Calibri"/>
          <w:i/>
          <w:iCs/>
          <w:color w:val="000000"/>
          <w:sz w:val="23"/>
          <w:szCs w:val="23"/>
        </w:rPr>
        <w:t>(primární nebo sekundární)</w:t>
      </w:r>
      <w:r w:rsidRPr="00F264EB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4F017E" w:rsidRPr="00F264EB" w:rsidRDefault="004F017E" w:rsidP="00AE18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4F017E" w:rsidRPr="00EF542D" w:rsidRDefault="004F017E" w:rsidP="00AE1818">
      <w:pPr>
        <w:pStyle w:val="Default"/>
        <w:jc w:val="both"/>
        <w:rPr>
          <w:b/>
        </w:rPr>
      </w:pPr>
      <w:r w:rsidRPr="00EF542D">
        <w:rPr>
          <w:b/>
          <w:highlight w:val="yellow"/>
        </w:rPr>
        <w:t>Co dělat v případě, že žák patří do rizikové skupiny</w:t>
      </w:r>
      <w:r w:rsidRPr="00EF542D">
        <w:rPr>
          <w:b/>
        </w:rPr>
        <w:t xml:space="preserve"> </w:t>
      </w:r>
    </w:p>
    <w:p w:rsidR="004F017E" w:rsidRDefault="004F017E" w:rsidP="00AE18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rizikové skupiny patří žák, který osobně naplňuje alespoň jeden bod </w:t>
      </w:r>
      <w:r>
        <w:rPr>
          <w:i/>
          <w:iCs/>
          <w:sz w:val="23"/>
          <w:szCs w:val="23"/>
        </w:rPr>
        <w:t>(2-8)</w:t>
      </w:r>
      <w:r w:rsidR="00F264EB"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nebo pokud některý z bodů naplňuje jakákoliv osoba, která s ním žije ve společné domácnosti. </w:t>
      </w:r>
    </w:p>
    <w:p w:rsidR="004F017E" w:rsidRDefault="004F017E" w:rsidP="00AE18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Doporučuje se, aby zákonní zástupci zvážili tyto rizikové faktory, pokud žák patří do rizikové skupiny, a rozhodli o účasti žáka na vzdělávacích aktivitách s tímto vědomím. </w:t>
      </w:r>
    </w:p>
    <w:p w:rsidR="004F017E" w:rsidRDefault="004F017E" w:rsidP="00AE18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Při prvním vstupu do školy předkládá zákonný zástupce žáka tato prohlášení, která je možné podepsat před vstupem do školy: </w:t>
      </w:r>
    </w:p>
    <w:p w:rsidR="004F017E" w:rsidRDefault="004F017E" w:rsidP="00AE1818">
      <w:pPr>
        <w:pStyle w:val="Default"/>
        <w:spacing w:after="56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písemné seznámení s vymezením rizikových skupin stanovených Ministerstvem zdravotnictví</w:t>
      </w:r>
    </w:p>
    <w:p w:rsidR="003B0188" w:rsidRDefault="004F017E" w:rsidP="00AE1818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písemné čestné prohlášení o neexistenci příznaků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 xml:space="preserve">. </w:t>
      </w:r>
    </w:p>
    <w:p w:rsidR="004F017E" w:rsidRDefault="004F017E" w:rsidP="00AE1818">
      <w:pPr>
        <w:pStyle w:val="Default"/>
        <w:jc w:val="both"/>
        <w:rPr>
          <w:b/>
          <w:sz w:val="23"/>
          <w:szCs w:val="23"/>
        </w:rPr>
      </w:pPr>
      <w:r w:rsidRPr="009247B8">
        <w:rPr>
          <w:b/>
          <w:sz w:val="23"/>
          <w:szCs w:val="23"/>
        </w:rPr>
        <w:t>Pokud zákonný zástupce tyto dokumenty nepodepíše, nebude žákovi osobní účast ve škole umožněna.</w:t>
      </w:r>
    </w:p>
    <w:p w:rsidR="009247B8" w:rsidRDefault="009247B8" w:rsidP="00AE1818">
      <w:pPr>
        <w:pStyle w:val="Default"/>
        <w:jc w:val="both"/>
        <w:rPr>
          <w:b/>
          <w:sz w:val="23"/>
          <w:szCs w:val="23"/>
        </w:rPr>
      </w:pPr>
    </w:p>
    <w:p w:rsidR="009247B8" w:rsidRDefault="009247B8" w:rsidP="00AE1818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Vážení rodiče, děkuji za prostudování. </w:t>
      </w:r>
      <w:r w:rsidR="00AE1818">
        <w:rPr>
          <w:b/>
          <w:sz w:val="23"/>
          <w:szCs w:val="23"/>
        </w:rPr>
        <w:t xml:space="preserve">Čekám na </w:t>
      </w:r>
      <w:r w:rsidR="00A82DA0">
        <w:rPr>
          <w:b/>
          <w:sz w:val="23"/>
          <w:szCs w:val="23"/>
        </w:rPr>
        <w:t>v</w:t>
      </w:r>
      <w:r w:rsidR="00AE1818">
        <w:rPr>
          <w:b/>
          <w:sz w:val="23"/>
          <w:szCs w:val="23"/>
        </w:rPr>
        <w:t xml:space="preserve">aše vyjádření do 7.5.2020. </w:t>
      </w:r>
    </w:p>
    <w:p w:rsidR="00EF542D" w:rsidRDefault="00EF542D" w:rsidP="00AE1818">
      <w:pPr>
        <w:pStyle w:val="Default"/>
        <w:jc w:val="both"/>
        <w:rPr>
          <w:b/>
          <w:sz w:val="23"/>
          <w:szCs w:val="23"/>
        </w:rPr>
      </w:pPr>
    </w:p>
    <w:p w:rsidR="009247B8" w:rsidRPr="009247B8" w:rsidRDefault="009247B8" w:rsidP="00AE1818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Přeji Vám klidné a zdravé dny. Ivana Machýčková, ředitelka školy</w:t>
      </w:r>
    </w:p>
    <w:sectPr w:rsidR="009247B8" w:rsidRPr="0092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2551B"/>
    <w:multiLevelType w:val="hybridMultilevel"/>
    <w:tmpl w:val="5799D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5A77583"/>
    <w:multiLevelType w:val="hybridMultilevel"/>
    <w:tmpl w:val="CC60F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7E"/>
    <w:rsid w:val="002C22F2"/>
    <w:rsid w:val="002D55B6"/>
    <w:rsid w:val="003B0188"/>
    <w:rsid w:val="004F017E"/>
    <w:rsid w:val="00542F43"/>
    <w:rsid w:val="00806A18"/>
    <w:rsid w:val="009247B8"/>
    <w:rsid w:val="00A82DA0"/>
    <w:rsid w:val="00AE1818"/>
    <w:rsid w:val="00C64DFE"/>
    <w:rsid w:val="00D65C55"/>
    <w:rsid w:val="00EF542D"/>
    <w:rsid w:val="00F2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DE1A"/>
  <w15:chartTrackingRefBased/>
  <w15:docId w15:val="{B88E600C-5B33-4DA8-9A38-565B3404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0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64D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hyckova@zskun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Machýčková</dc:creator>
  <cp:keywords/>
  <dc:description/>
  <cp:lastModifiedBy>Ivana Machýčková</cp:lastModifiedBy>
  <cp:revision>15</cp:revision>
  <dcterms:created xsi:type="dcterms:W3CDTF">2020-05-02T18:44:00Z</dcterms:created>
  <dcterms:modified xsi:type="dcterms:W3CDTF">2020-05-04T10:00:00Z</dcterms:modified>
</cp:coreProperties>
</file>